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09" w:rsidRDefault="002B2B09" w:rsidP="00B00861">
      <w:pPr>
        <w:widowControl w:val="0"/>
        <w:autoSpaceDE w:val="0"/>
        <w:autoSpaceDN w:val="0"/>
        <w:adjustRightInd w:val="0"/>
        <w:spacing w:after="0" w:line="288" w:lineRule="auto"/>
        <w:ind w:left="113"/>
        <w:rPr>
          <w:rFonts w:ascii="Tahoma" w:hAnsi="Tahoma" w:cs="Tahoma"/>
          <w:b/>
          <w:bCs/>
          <w:spacing w:val="-1"/>
        </w:rPr>
      </w:pPr>
    </w:p>
    <w:p w:rsidR="00423001" w:rsidRDefault="00423001" w:rsidP="00423001">
      <w:pPr>
        <w:widowControl w:val="0"/>
        <w:autoSpaceDE w:val="0"/>
        <w:autoSpaceDN w:val="0"/>
        <w:adjustRightInd w:val="0"/>
        <w:spacing w:after="0" w:line="288" w:lineRule="auto"/>
        <w:ind w:left="113"/>
        <w:jc w:val="center"/>
        <w:rPr>
          <w:rFonts w:ascii="Tahoma" w:hAnsi="Tahoma" w:cs="Tahoma"/>
          <w:b/>
          <w:bCs/>
          <w:spacing w:val="-1"/>
        </w:rPr>
      </w:pPr>
      <w:r>
        <w:rPr>
          <w:noProof/>
        </w:rPr>
        <w:drawing>
          <wp:inline distT="0" distB="0" distL="0" distR="0" wp14:anchorId="156A521C" wp14:editId="7313F964">
            <wp:extent cx="1965800" cy="14164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1063" cy="142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001" w:rsidRPr="00DA5F0F" w:rsidRDefault="00423001" w:rsidP="00B00861">
      <w:pPr>
        <w:widowControl w:val="0"/>
        <w:autoSpaceDE w:val="0"/>
        <w:autoSpaceDN w:val="0"/>
        <w:adjustRightInd w:val="0"/>
        <w:spacing w:after="0" w:line="288" w:lineRule="auto"/>
        <w:ind w:left="113"/>
        <w:rPr>
          <w:rFonts w:ascii="Tahoma" w:hAnsi="Tahoma" w:cs="Tahoma"/>
          <w:b/>
          <w:bCs/>
          <w:spacing w:val="-1"/>
        </w:rPr>
      </w:pPr>
    </w:p>
    <w:p w:rsidR="00275568" w:rsidRPr="00F01E6B" w:rsidRDefault="00F01E6B" w:rsidP="00B00861">
      <w:pPr>
        <w:widowControl w:val="0"/>
        <w:autoSpaceDE w:val="0"/>
        <w:autoSpaceDN w:val="0"/>
        <w:adjustRightInd w:val="0"/>
        <w:spacing w:after="0" w:line="288" w:lineRule="auto"/>
        <w:ind w:left="113"/>
        <w:jc w:val="center"/>
        <w:rPr>
          <w:rFonts w:ascii="Tahoma" w:hAnsi="Tahoma" w:cs="Tahoma"/>
          <w:b/>
          <w:bCs/>
          <w:spacing w:val="-1"/>
          <w:sz w:val="28"/>
          <w:szCs w:val="28"/>
        </w:rPr>
      </w:pPr>
      <w:r w:rsidRPr="00F01E6B">
        <w:rPr>
          <w:rFonts w:ascii="Arial" w:hAnsi="Arial" w:cs="Arial"/>
          <w:b/>
          <w:noProof/>
          <w:sz w:val="28"/>
          <w:szCs w:val="28"/>
        </w:rPr>
        <w:t>ASPIRIN</w:t>
      </w:r>
      <w:r w:rsidRPr="00F01E6B">
        <w:rPr>
          <w:rFonts w:ascii="Arial" w:hAnsi="Arial" w:cs="Arial"/>
          <w:b/>
          <w:noProof/>
          <w:sz w:val="28"/>
          <w:szCs w:val="28"/>
          <w:vertAlign w:val="superscript"/>
        </w:rPr>
        <w:t>®</w:t>
      </w:r>
    </w:p>
    <w:p w:rsidR="002B2B09" w:rsidRPr="00F01E6B" w:rsidRDefault="00F01E6B" w:rsidP="00275568">
      <w:pPr>
        <w:widowControl w:val="0"/>
        <w:autoSpaceDE w:val="0"/>
        <w:autoSpaceDN w:val="0"/>
        <w:adjustRightInd w:val="0"/>
        <w:spacing w:after="120" w:line="288" w:lineRule="auto"/>
        <w:ind w:left="113"/>
        <w:rPr>
          <w:rFonts w:ascii="Tahoma" w:eastAsia="Times New Roman" w:hAnsi="Tahoma" w:cs="Tahoma"/>
          <w:b/>
        </w:rPr>
      </w:pPr>
      <w:r w:rsidRPr="00F01E6B">
        <w:rPr>
          <w:rFonts w:ascii="Tahoma" w:eastAsia="Times New Roman" w:hAnsi="Tahoma" w:cs="Tahoma"/>
          <w:b/>
        </w:rPr>
        <w:t xml:space="preserve">Acido </w:t>
      </w:r>
      <w:proofErr w:type="spellStart"/>
      <w:r w:rsidRPr="00F01E6B">
        <w:rPr>
          <w:rFonts w:ascii="Tahoma" w:eastAsia="Times New Roman" w:hAnsi="Tahoma" w:cs="Tahoma"/>
          <w:b/>
        </w:rPr>
        <w:t>Acetil</w:t>
      </w:r>
      <w:proofErr w:type="spellEnd"/>
      <w:r w:rsidRPr="00F01E6B">
        <w:rPr>
          <w:rFonts w:ascii="Tahoma" w:eastAsia="Times New Roman" w:hAnsi="Tahoma" w:cs="Tahoma"/>
          <w:b/>
        </w:rPr>
        <w:t xml:space="preserve"> Salicilico</w:t>
      </w:r>
    </w:p>
    <w:p w:rsidR="00423001" w:rsidRDefault="00423001" w:rsidP="00423001">
      <w:pPr>
        <w:widowControl w:val="0"/>
        <w:autoSpaceDE w:val="0"/>
        <w:autoSpaceDN w:val="0"/>
        <w:adjustRightInd w:val="0"/>
        <w:spacing w:after="0" w:line="288" w:lineRule="auto"/>
        <w:ind w:left="113"/>
        <w:jc w:val="both"/>
        <w:rPr>
          <w:rFonts w:ascii="Tahoma" w:hAnsi="Tahoma" w:cs="Tahoma"/>
        </w:rPr>
      </w:pPr>
      <w:r w:rsidRPr="00423001">
        <w:rPr>
          <w:rFonts w:ascii="Tahoma" w:hAnsi="Tahoma" w:cs="Tahoma"/>
        </w:rPr>
        <w:t>L'acido acetilsalicilico o ASA (</w:t>
      </w:r>
      <w:hyperlink r:id="rId10" w:history="1">
        <w:r w:rsidRPr="00423001">
          <w:rPr>
            <w:rFonts w:ascii="Tahoma" w:hAnsi="Tahoma" w:cs="Tahoma"/>
          </w:rPr>
          <w:t>IUPAC</w:t>
        </w:r>
      </w:hyperlink>
      <w:r w:rsidRPr="00423001">
        <w:rPr>
          <w:rFonts w:ascii="Tahoma" w:hAnsi="Tahoma" w:cs="Tahoma"/>
        </w:rPr>
        <w:t>: acido 2-(</w:t>
      </w:r>
      <w:proofErr w:type="spellStart"/>
      <w:r w:rsidRPr="00423001">
        <w:rPr>
          <w:rFonts w:ascii="Tahoma" w:hAnsi="Tahoma" w:cs="Tahoma"/>
        </w:rPr>
        <w:t>acetilossi</w:t>
      </w:r>
      <w:proofErr w:type="spellEnd"/>
      <w:r w:rsidRPr="00423001">
        <w:rPr>
          <w:rFonts w:ascii="Tahoma" w:hAnsi="Tahoma" w:cs="Tahoma"/>
        </w:rPr>
        <w:t xml:space="preserve">) benzoico), meglio conosciuto con l'italianizzazione in aspirina del suo primo nome commerciale tedesco di larga diffusione, è un </w:t>
      </w:r>
      <w:hyperlink r:id="rId11" w:history="1">
        <w:r w:rsidRPr="00423001">
          <w:rPr>
            <w:rFonts w:ascii="Tahoma" w:hAnsi="Tahoma" w:cs="Tahoma"/>
          </w:rPr>
          <w:t>farmaco</w:t>
        </w:r>
      </w:hyperlink>
      <w:r w:rsidRPr="00423001">
        <w:rPr>
          <w:rFonts w:ascii="Tahoma" w:hAnsi="Tahoma" w:cs="Tahoma"/>
        </w:rPr>
        <w:t xml:space="preserve"> </w:t>
      </w:r>
      <w:hyperlink r:id="rId12" w:tooltip="Antiinfiammatorio" w:history="1">
        <w:r w:rsidRPr="00423001">
          <w:rPr>
            <w:rFonts w:ascii="Tahoma" w:hAnsi="Tahoma" w:cs="Tahoma"/>
          </w:rPr>
          <w:t>antiinfiammatorio</w:t>
        </w:r>
      </w:hyperlink>
      <w:r w:rsidRPr="00423001">
        <w:rPr>
          <w:rFonts w:ascii="Tahoma" w:hAnsi="Tahoma" w:cs="Tahoma"/>
        </w:rPr>
        <w:t xml:space="preserve"> non-</w:t>
      </w:r>
      <w:hyperlink r:id="rId13" w:tooltip="Steroidi" w:history="1">
        <w:r w:rsidRPr="00423001">
          <w:rPr>
            <w:rFonts w:ascii="Tahoma" w:hAnsi="Tahoma" w:cs="Tahoma"/>
          </w:rPr>
          <w:t>steroideo</w:t>
        </w:r>
      </w:hyperlink>
      <w:r w:rsidRPr="00423001">
        <w:rPr>
          <w:rFonts w:ascii="Tahoma" w:hAnsi="Tahoma" w:cs="Tahoma"/>
        </w:rPr>
        <w:t xml:space="preserve"> (</w:t>
      </w:r>
      <w:hyperlink r:id="rId14" w:history="1">
        <w:r w:rsidRPr="00423001">
          <w:rPr>
            <w:rFonts w:ascii="Tahoma" w:hAnsi="Tahoma" w:cs="Tahoma"/>
          </w:rPr>
          <w:t>FANS</w:t>
        </w:r>
      </w:hyperlink>
      <w:r w:rsidRPr="00423001">
        <w:rPr>
          <w:rFonts w:ascii="Tahoma" w:hAnsi="Tahoma" w:cs="Tahoma"/>
        </w:rPr>
        <w:t xml:space="preserve">) della famiglia dei salicilati. Il suo </w:t>
      </w:r>
      <w:hyperlink r:id="rId15" w:history="1">
        <w:r w:rsidRPr="00423001">
          <w:rPr>
            <w:rFonts w:ascii="Tahoma" w:hAnsi="Tahoma" w:cs="Tahoma"/>
          </w:rPr>
          <w:t>numero CAS</w:t>
        </w:r>
      </w:hyperlink>
      <w:r w:rsidRPr="00423001">
        <w:rPr>
          <w:rFonts w:ascii="Tahoma" w:hAnsi="Tahoma" w:cs="Tahoma"/>
        </w:rPr>
        <w:t xml:space="preserve"> è 50-78-2.</w:t>
      </w:r>
    </w:p>
    <w:p w:rsidR="00423001" w:rsidRPr="00423001" w:rsidRDefault="00423001" w:rsidP="00423001">
      <w:pPr>
        <w:widowControl w:val="0"/>
        <w:autoSpaceDE w:val="0"/>
        <w:autoSpaceDN w:val="0"/>
        <w:adjustRightInd w:val="0"/>
        <w:spacing w:after="0" w:line="288" w:lineRule="auto"/>
        <w:ind w:left="113"/>
        <w:jc w:val="both"/>
        <w:rPr>
          <w:rFonts w:ascii="Tahoma" w:hAnsi="Tahoma" w:cs="Tahoma"/>
        </w:rPr>
      </w:pPr>
    </w:p>
    <w:p w:rsidR="00423001" w:rsidRDefault="00423001" w:rsidP="00423001">
      <w:pPr>
        <w:widowControl w:val="0"/>
        <w:autoSpaceDE w:val="0"/>
        <w:autoSpaceDN w:val="0"/>
        <w:adjustRightInd w:val="0"/>
        <w:spacing w:after="0" w:line="288" w:lineRule="auto"/>
        <w:ind w:left="113"/>
        <w:jc w:val="both"/>
        <w:rPr>
          <w:rFonts w:ascii="Tahoma" w:hAnsi="Tahoma" w:cs="Tahoma"/>
        </w:rPr>
      </w:pPr>
      <w:r w:rsidRPr="00423001">
        <w:rPr>
          <w:rFonts w:ascii="Tahoma" w:hAnsi="Tahoma" w:cs="Tahoma"/>
        </w:rPr>
        <w:t xml:space="preserve">Pura, a temperatura ambiente si presenta come un solido dai cristalli incolori; poco solubile in </w:t>
      </w:r>
      <w:hyperlink r:id="rId16" w:history="1">
        <w:r w:rsidRPr="00423001">
          <w:rPr>
            <w:rFonts w:ascii="Tahoma" w:hAnsi="Tahoma" w:cs="Tahoma"/>
          </w:rPr>
          <w:t>acqua</w:t>
        </w:r>
      </w:hyperlink>
      <w:r w:rsidRPr="00423001">
        <w:rPr>
          <w:rFonts w:ascii="Tahoma" w:hAnsi="Tahoma" w:cs="Tahoma"/>
        </w:rPr>
        <w:t xml:space="preserve"> (3 g/l), molto solubile in </w:t>
      </w:r>
      <w:hyperlink r:id="rId17" w:history="1">
        <w:r w:rsidRPr="00423001">
          <w:rPr>
            <w:rFonts w:ascii="Tahoma" w:hAnsi="Tahoma" w:cs="Tahoma"/>
          </w:rPr>
          <w:t>etanolo</w:t>
        </w:r>
      </w:hyperlink>
      <w:r w:rsidRPr="00423001">
        <w:rPr>
          <w:rFonts w:ascii="Tahoma" w:hAnsi="Tahoma" w:cs="Tahoma"/>
        </w:rPr>
        <w:t>.</w:t>
      </w:r>
    </w:p>
    <w:p w:rsidR="00423001" w:rsidRPr="00423001" w:rsidRDefault="00423001" w:rsidP="00423001">
      <w:pPr>
        <w:widowControl w:val="0"/>
        <w:autoSpaceDE w:val="0"/>
        <w:autoSpaceDN w:val="0"/>
        <w:adjustRightInd w:val="0"/>
        <w:spacing w:after="0" w:line="288" w:lineRule="auto"/>
        <w:ind w:left="113"/>
        <w:jc w:val="both"/>
        <w:rPr>
          <w:rFonts w:ascii="Tahoma" w:hAnsi="Tahoma" w:cs="Tahoma"/>
        </w:rPr>
      </w:pPr>
    </w:p>
    <w:p w:rsidR="00423001" w:rsidRDefault="00423001" w:rsidP="00423001">
      <w:pPr>
        <w:widowControl w:val="0"/>
        <w:autoSpaceDE w:val="0"/>
        <w:autoSpaceDN w:val="0"/>
        <w:adjustRightInd w:val="0"/>
        <w:spacing w:after="0" w:line="288" w:lineRule="auto"/>
        <w:ind w:left="113"/>
        <w:jc w:val="both"/>
        <w:rPr>
          <w:rFonts w:ascii="Tahoma" w:hAnsi="Tahoma" w:cs="Tahoma"/>
        </w:rPr>
      </w:pPr>
      <w:r w:rsidRPr="00423001">
        <w:rPr>
          <w:rFonts w:ascii="Tahoma" w:hAnsi="Tahoma" w:cs="Tahoma"/>
        </w:rPr>
        <w:t xml:space="preserve">Il composto trova impiego solo, od associato ad altri principi e a moderatori degli effetti collaterali come </w:t>
      </w:r>
      <w:hyperlink r:id="rId18" w:tooltip="Farmaci antalgici" w:history="1">
        <w:r w:rsidRPr="00423001">
          <w:rPr>
            <w:rFonts w:ascii="Tahoma" w:hAnsi="Tahoma" w:cs="Tahoma"/>
          </w:rPr>
          <w:t>analgesico</w:t>
        </w:r>
      </w:hyperlink>
      <w:r w:rsidRPr="00423001">
        <w:rPr>
          <w:rFonts w:ascii="Tahoma" w:hAnsi="Tahoma" w:cs="Tahoma"/>
        </w:rPr>
        <w:t xml:space="preserve"> per dolori lievi, come </w:t>
      </w:r>
      <w:hyperlink r:id="rId19" w:history="1">
        <w:r w:rsidRPr="00423001">
          <w:rPr>
            <w:rFonts w:ascii="Tahoma" w:hAnsi="Tahoma" w:cs="Tahoma"/>
          </w:rPr>
          <w:t>antipiretico</w:t>
        </w:r>
      </w:hyperlink>
      <w:r w:rsidRPr="00423001">
        <w:rPr>
          <w:rFonts w:ascii="Tahoma" w:hAnsi="Tahoma" w:cs="Tahoma"/>
        </w:rPr>
        <w:t xml:space="preserve"> (per ridurre la febbre) e come antiinfiammatorio. Ha, inoltre, un effetto antiaggregante e fluidificante sul </w:t>
      </w:r>
      <w:hyperlink r:id="rId20" w:history="1">
        <w:r w:rsidRPr="00423001">
          <w:rPr>
            <w:rFonts w:ascii="Tahoma" w:hAnsi="Tahoma" w:cs="Tahoma"/>
          </w:rPr>
          <w:t>sangue</w:t>
        </w:r>
      </w:hyperlink>
      <w:r w:rsidRPr="00423001">
        <w:rPr>
          <w:rFonts w:ascii="Tahoma" w:hAnsi="Tahoma" w:cs="Tahoma"/>
        </w:rPr>
        <w:t xml:space="preserve">, per questo il suo uso a piccole dosi aiuta a prevenire a lungo termine gli attacchi </w:t>
      </w:r>
      <w:hyperlink r:id="rId21" w:tooltip="Cuore" w:history="1">
        <w:r w:rsidRPr="00423001">
          <w:rPr>
            <w:rFonts w:ascii="Tahoma" w:hAnsi="Tahoma" w:cs="Tahoma"/>
          </w:rPr>
          <w:t>cardiaci</w:t>
        </w:r>
      </w:hyperlink>
      <w:r w:rsidRPr="00423001">
        <w:rPr>
          <w:rFonts w:ascii="Tahoma" w:hAnsi="Tahoma" w:cs="Tahoma"/>
        </w:rPr>
        <w:t>.</w:t>
      </w:r>
    </w:p>
    <w:p w:rsidR="00423001" w:rsidRPr="00423001" w:rsidRDefault="00423001" w:rsidP="00423001">
      <w:pPr>
        <w:widowControl w:val="0"/>
        <w:autoSpaceDE w:val="0"/>
        <w:autoSpaceDN w:val="0"/>
        <w:adjustRightInd w:val="0"/>
        <w:spacing w:after="0" w:line="288" w:lineRule="auto"/>
        <w:ind w:left="113"/>
        <w:jc w:val="both"/>
        <w:rPr>
          <w:rFonts w:ascii="Tahoma" w:hAnsi="Tahoma" w:cs="Tahoma"/>
        </w:rPr>
      </w:pPr>
    </w:p>
    <w:p w:rsidR="00423001" w:rsidRPr="00423001" w:rsidRDefault="00423001" w:rsidP="00423001">
      <w:pPr>
        <w:widowControl w:val="0"/>
        <w:autoSpaceDE w:val="0"/>
        <w:autoSpaceDN w:val="0"/>
        <w:adjustRightInd w:val="0"/>
        <w:spacing w:after="0" w:line="288" w:lineRule="auto"/>
        <w:ind w:left="113"/>
        <w:jc w:val="both"/>
        <w:rPr>
          <w:rFonts w:ascii="Tahoma" w:hAnsi="Tahoma" w:cs="Tahoma"/>
        </w:rPr>
      </w:pPr>
      <w:r w:rsidRPr="00423001">
        <w:rPr>
          <w:rFonts w:ascii="Tahoma" w:hAnsi="Tahoma" w:cs="Tahoma"/>
        </w:rPr>
        <w:t>Il nome "</w:t>
      </w:r>
      <w:proofErr w:type="spellStart"/>
      <w:r w:rsidRPr="00423001">
        <w:rPr>
          <w:rFonts w:ascii="Tahoma" w:hAnsi="Tahoma" w:cs="Tahoma"/>
        </w:rPr>
        <w:t>Aspirin</w:t>
      </w:r>
      <w:proofErr w:type="spellEnd"/>
      <w:r w:rsidRPr="00423001">
        <w:rPr>
          <w:rFonts w:ascii="Tahoma" w:hAnsi="Tahoma" w:cs="Tahoma"/>
        </w:rPr>
        <w:t xml:space="preserve">" è stato inizialmente un </w:t>
      </w:r>
      <w:hyperlink r:id="rId22" w:history="1">
        <w:r w:rsidRPr="00423001">
          <w:rPr>
            <w:rFonts w:ascii="Tahoma" w:hAnsi="Tahoma" w:cs="Tahoma"/>
          </w:rPr>
          <w:t>marchio</w:t>
        </w:r>
      </w:hyperlink>
      <w:r w:rsidRPr="00423001">
        <w:rPr>
          <w:rFonts w:ascii="Tahoma" w:hAnsi="Tahoma" w:cs="Tahoma"/>
        </w:rPr>
        <w:t xml:space="preserve"> commerciale coniato dalla </w:t>
      </w:r>
      <w:hyperlink r:id="rId23" w:history="1">
        <w:r w:rsidRPr="00423001">
          <w:rPr>
            <w:rFonts w:ascii="Tahoma" w:hAnsi="Tahoma" w:cs="Tahoma"/>
          </w:rPr>
          <w:t>Bayer</w:t>
        </w:r>
      </w:hyperlink>
      <w:r w:rsidRPr="00423001">
        <w:rPr>
          <w:rFonts w:ascii="Tahoma" w:hAnsi="Tahoma" w:cs="Tahoma"/>
        </w:rPr>
        <w:t xml:space="preserve">, ma in diverse lingue si è volgarizzato diventando il termine generico per indicare l'acido acetilsalicilico, indipendentemente dalla perdita legale della capacità distintiva necessaria alla sua validità come marchio di commercio. In Italia il marchio è legalmente in vigore, ed acido acetilsalicilico e acetilsalicilati, puri o in combinazione con eccipienti, sinergici e/o moderatori degli effetti collaterali si trovano sotto diversi nomi commerciali come analgesici antipiretici ed antiaggreganti (secondo il </w:t>
      </w:r>
      <w:hyperlink r:id="rId24" w:tooltip="Prontuario farmaceutico nazionale (pagina inesistente)" w:history="1">
        <w:r w:rsidRPr="00423001">
          <w:rPr>
            <w:rFonts w:ascii="Tahoma" w:hAnsi="Tahoma" w:cs="Tahoma"/>
          </w:rPr>
          <w:t>prontuario farmaceutico nazionale</w:t>
        </w:r>
      </w:hyperlink>
      <w:r w:rsidRPr="00423001">
        <w:rPr>
          <w:rFonts w:ascii="Tahoma" w:hAnsi="Tahoma" w:cs="Tahoma"/>
        </w:rPr>
        <w:t xml:space="preserve">, con i nomi di </w:t>
      </w:r>
      <w:proofErr w:type="spellStart"/>
      <w:r w:rsidRPr="00423001">
        <w:rPr>
          <w:rFonts w:ascii="Tahoma" w:hAnsi="Tahoma" w:cs="Tahoma"/>
        </w:rPr>
        <w:t>Ascriptin</w:t>
      </w:r>
      <w:proofErr w:type="spellEnd"/>
      <w:r w:rsidRPr="00423001">
        <w:rPr>
          <w:rFonts w:ascii="Tahoma" w:hAnsi="Tahoma" w:cs="Tahoma"/>
        </w:rPr>
        <w:t xml:space="preserve">, </w:t>
      </w:r>
      <w:proofErr w:type="spellStart"/>
      <w:r w:rsidRPr="00423001">
        <w:rPr>
          <w:rFonts w:ascii="Tahoma" w:hAnsi="Tahoma" w:cs="Tahoma"/>
        </w:rPr>
        <w:t>CardioAspirin</w:t>
      </w:r>
      <w:proofErr w:type="spellEnd"/>
      <w:r w:rsidRPr="00423001">
        <w:rPr>
          <w:rFonts w:ascii="Tahoma" w:hAnsi="Tahoma" w:cs="Tahoma"/>
        </w:rPr>
        <w:t xml:space="preserve">, </w:t>
      </w:r>
      <w:proofErr w:type="spellStart"/>
      <w:r w:rsidRPr="00423001">
        <w:rPr>
          <w:rFonts w:ascii="Tahoma" w:hAnsi="Tahoma" w:cs="Tahoma"/>
        </w:rPr>
        <w:t>Aspegic</w:t>
      </w:r>
      <w:proofErr w:type="spellEnd"/>
      <w:r w:rsidRPr="00423001">
        <w:rPr>
          <w:rFonts w:ascii="Tahoma" w:hAnsi="Tahoma" w:cs="Tahoma"/>
        </w:rPr>
        <w:t xml:space="preserve">, </w:t>
      </w:r>
      <w:proofErr w:type="spellStart"/>
      <w:r w:rsidRPr="00423001">
        <w:rPr>
          <w:rFonts w:ascii="Tahoma" w:hAnsi="Tahoma" w:cs="Tahoma"/>
        </w:rPr>
        <w:t>Aspidol</w:t>
      </w:r>
      <w:proofErr w:type="spellEnd"/>
      <w:r w:rsidRPr="00423001">
        <w:rPr>
          <w:rFonts w:ascii="Tahoma" w:hAnsi="Tahoma" w:cs="Tahoma"/>
        </w:rPr>
        <w:t xml:space="preserve">, </w:t>
      </w:r>
      <w:proofErr w:type="spellStart"/>
      <w:r w:rsidRPr="00423001">
        <w:rPr>
          <w:rFonts w:ascii="Tahoma" w:hAnsi="Tahoma" w:cs="Tahoma"/>
        </w:rPr>
        <w:t>Flectadol</w:t>
      </w:r>
      <w:proofErr w:type="spellEnd"/>
      <w:r w:rsidRPr="00423001">
        <w:rPr>
          <w:rFonts w:ascii="Tahoma" w:hAnsi="Tahoma" w:cs="Tahoma"/>
        </w:rPr>
        <w:t xml:space="preserve">, e diversi altri tra i </w:t>
      </w:r>
      <w:hyperlink r:id="rId25" w:tooltip="Parafarmaci (pagina inesistente)" w:history="1">
        <w:r w:rsidRPr="00423001">
          <w:rPr>
            <w:rFonts w:ascii="Tahoma" w:hAnsi="Tahoma" w:cs="Tahoma"/>
          </w:rPr>
          <w:t>parafarmaci</w:t>
        </w:r>
      </w:hyperlink>
      <w:r w:rsidRPr="00423001">
        <w:rPr>
          <w:rFonts w:ascii="Tahoma" w:hAnsi="Tahoma" w:cs="Tahoma"/>
        </w:rPr>
        <w:t xml:space="preserve"> non censiti dal prontuario).</w:t>
      </w:r>
    </w:p>
    <w:p w:rsidR="00892BBA" w:rsidRDefault="00892BBA" w:rsidP="00275568">
      <w:pPr>
        <w:widowControl w:val="0"/>
        <w:autoSpaceDE w:val="0"/>
        <w:autoSpaceDN w:val="0"/>
        <w:adjustRightInd w:val="0"/>
        <w:spacing w:after="120" w:line="288" w:lineRule="auto"/>
        <w:ind w:left="113"/>
        <w:rPr>
          <w:rFonts w:ascii="Tahoma" w:eastAsia="Times New Roman" w:hAnsi="Tahoma" w:cs="Tahoma"/>
        </w:rPr>
      </w:pPr>
    </w:p>
    <w:p w:rsidR="00D948C0" w:rsidRDefault="00F01E6B" w:rsidP="00D948C0">
      <w:pPr>
        <w:widowControl w:val="0"/>
        <w:autoSpaceDE w:val="0"/>
        <w:autoSpaceDN w:val="0"/>
        <w:adjustRightInd w:val="0"/>
        <w:spacing w:after="0" w:line="288" w:lineRule="auto"/>
        <w:ind w:left="113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Contenuto nei seguenti medicinali:</w:t>
      </w:r>
    </w:p>
    <w:p w:rsidR="00F01E6B" w:rsidRDefault="00F01E6B" w:rsidP="00D948C0">
      <w:pPr>
        <w:widowControl w:val="0"/>
        <w:autoSpaceDE w:val="0"/>
        <w:autoSpaceDN w:val="0"/>
        <w:adjustRightInd w:val="0"/>
        <w:spacing w:after="0" w:line="288" w:lineRule="auto"/>
        <w:ind w:left="11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ACESAL – ASPIRINA – ASPIRINETTA – ASPRO 500 – BUFFERIN – CARDIOASPIRINA – CEMERIT – KILIOS – UPSALGINA.</w:t>
      </w:r>
    </w:p>
    <w:p w:rsidR="00F01E6B" w:rsidRDefault="00F01E6B" w:rsidP="00D948C0">
      <w:pPr>
        <w:widowControl w:val="0"/>
        <w:autoSpaceDE w:val="0"/>
        <w:autoSpaceDN w:val="0"/>
        <w:adjustRightInd w:val="0"/>
        <w:spacing w:after="0" w:line="288" w:lineRule="auto"/>
        <w:ind w:left="113"/>
        <w:jc w:val="both"/>
        <w:rPr>
          <w:rFonts w:ascii="Tahoma" w:hAnsi="Tahoma" w:cs="Tahoma"/>
        </w:rPr>
      </w:pPr>
    </w:p>
    <w:p w:rsidR="00892BBA" w:rsidRPr="00892BBA" w:rsidRDefault="00F01E6B" w:rsidP="00F01E6B">
      <w:pPr>
        <w:widowControl w:val="0"/>
        <w:autoSpaceDE w:val="0"/>
        <w:autoSpaceDN w:val="0"/>
        <w:adjustRightInd w:val="0"/>
        <w:spacing w:after="0" w:line="288" w:lineRule="auto"/>
        <w:ind w:left="11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Oltre ai farmaci sopra citati evitare anche i coloranti alimentari in genere.</w:t>
      </w:r>
    </w:p>
    <w:p w:rsidR="00892BBA" w:rsidRPr="00DA5F0F" w:rsidRDefault="00892BBA" w:rsidP="00D1715E">
      <w:pPr>
        <w:widowControl w:val="0"/>
        <w:autoSpaceDE w:val="0"/>
        <w:autoSpaceDN w:val="0"/>
        <w:adjustRightInd w:val="0"/>
        <w:spacing w:after="0" w:line="253" w:lineRule="auto"/>
        <w:ind w:left="134" w:right="3"/>
        <w:jc w:val="both"/>
        <w:rPr>
          <w:rFonts w:ascii="Tahoma" w:hAnsi="Tahoma" w:cs="Tahoma"/>
        </w:rPr>
      </w:pPr>
    </w:p>
    <w:sectPr w:rsidR="00892BBA" w:rsidRPr="00DA5F0F" w:rsidSect="00E068E3">
      <w:headerReference w:type="default" r:id="rId26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29E" w:rsidRDefault="0041629E" w:rsidP="00246A91">
      <w:pPr>
        <w:spacing w:after="0" w:line="240" w:lineRule="auto"/>
      </w:pPr>
      <w:r>
        <w:separator/>
      </w:r>
    </w:p>
  </w:endnote>
  <w:endnote w:type="continuationSeparator" w:id="0">
    <w:p w:rsidR="0041629E" w:rsidRDefault="0041629E" w:rsidP="0024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29E" w:rsidRDefault="0041629E" w:rsidP="00246A91">
      <w:pPr>
        <w:spacing w:after="0" w:line="240" w:lineRule="auto"/>
      </w:pPr>
      <w:r>
        <w:separator/>
      </w:r>
    </w:p>
  </w:footnote>
  <w:footnote w:type="continuationSeparator" w:id="0">
    <w:p w:rsidR="0041629E" w:rsidRDefault="0041629E" w:rsidP="0024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2D7" w:rsidRDefault="00C402D7" w:rsidP="00C402D7">
    <w:pPr>
      <w:pStyle w:val="Intestazione"/>
      <w:pBdr>
        <w:bottom w:val="thickThinSmallGap" w:sz="24" w:space="21" w:color="622423" w:themeColor="accent2" w:themeShade="7F"/>
      </w:pBdr>
      <w:jc w:val="center"/>
      <w:rPr>
        <w:rFonts w:ascii="Tahoma" w:eastAsiaTheme="majorEastAsia" w:hAnsi="Tahoma" w:cs="Tahoma"/>
        <w:sz w:val="24"/>
        <w:szCs w:val="24"/>
      </w:rPr>
    </w:pPr>
    <w:r>
      <w:rPr>
        <w:rFonts w:ascii="Tahoma" w:eastAsiaTheme="majorEastAsia" w:hAnsi="Tahoma" w:cs="Tahoma"/>
        <w:sz w:val="24"/>
        <w:szCs w:val="24"/>
      </w:rPr>
      <w:t xml:space="preserve">Dott.ssa </w:t>
    </w:r>
    <w:r w:rsidR="00DA5F0F">
      <w:rPr>
        <w:rFonts w:ascii="Tahoma" w:eastAsiaTheme="majorEastAsia" w:hAnsi="Tahoma" w:cs="Tahoma"/>
        <w:sz w:val="24"/>
        <w:szCs w:val="24"/>
      </w:rPr>
      <w:t>Michela Padovani</w:t>
    </w:r>
  </w:p>
  <w:p w:rsidR="0045012C" w:rsidRPr="0045012C" w:rsidRDefault="0045012C" w:rsidP="00C402D7">
    <w:pPr>
      <w:pStyle w:val="Intestazione"/>
      <w:pBdr>
        <w:bottom w:val="thickThinSmallGap" w:sz="24" w:space="21" w:color="622423" w:themeColor="accent2" w:themeShade="7F"/>
      </w:pBdr>
      <w:jc w:val="center"/>
      <w:rPr>
        <w:rFonts w:ascii="Tahoma" w:eastAsiaTheme="majorEastAsia" w:hAnsi="Tahoma" w:cs="Tahoma"/>
        <w:sz w:val="24"/>
        <w:szCs w:val="24"/>
      </w:rPr>
    </w:pPr>
    <w:r>
      <w:rPr>
        <w:rFonts w:ascii="Tahoma" w:eastAsiaTheme="majorEastAsia" w:hAnsi="Tahoma" w:cs="Tahoma"/>
        <w:sz w:val="24"/>
        <w:szCs w:val="24"/>
      </w:rPr>
      <w:t xml:space="preserve">Biologa </w:t>
    </w:r>
    <w:r w:rsidR="00C402D7">
      <w:rPr>
        <w:rFonts w:ascii="Tahoma" w:eastAsiaTheme="majorEastAsia" w:hAnsi="Tahoma" w:cs="Tahoma"/>
        <w:sz w:val="24"/>
        <w:szCs w:val="24"/>
      </w:rPr>
      <w:t>Nutrizionista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945"/>
    <w:multiLevelType w:val="hybridMultilevel"/>
    <w:tmpl w:val="9F700DBA"/>
    <w:lvl w:ilvl="0" w:tplc="4030C6F0">
      <w:numFmt w:val="bullet"/>
      <w:lvlText w:val="-"/>
      <w:lvlJc w:val="left"/>
      <w:pPr>
        <w:ind w:left="473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>
    <w:nsid w:val="0ED0057E"/>
    <w:multiLevelType w:val="multilevel"/>
    <w:tmpl w:val="E9CA8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053705"/>
    <w:multiLevelType w:val="hybridMultilevel"/>
    <w:tmpl w:val="5EE02054"/>
    <w:lvl w:ilvl="0" w:tplc="012A2734">
      <w:numFmt w:val="bullet"/>
      <w:lvlText w:val="-"/>
      <w:lvlJc w:val="left"/>
      <w:pPr>
        <w:ind w:left="473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3B7944D6"/>
    <w:multiLevelType w:val="multilevel"/>
    <w:tmpl w:val="EFE6F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F042D"/>
    <w:multiLevelType w:val="multilevel"/>
    <w:tmpl w:val="B728F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D3174"/>
    <w:multiLevelType w:val="multilevel"/>
    <w:tmpl w:val="DEC48F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A22F68"/>
    <w:multiLevelType w:val="multilevel"/>
    <w:tmpl w:val="E688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91"/>
    <w:rsid w:val="000C7054"/>
    <w:rsid w:val="00133FB0"/>
    <w:rsid w:val="00161254"/>
    <w:rsid w:val="0019521B"/>
    <w:rsid w:val="00226346"/>
    <w:rsid w:val="00246A91"/>
    <w:rsid w:val="0026090B"/>
    <w:rsid w:val="00275568"/>
    <w:rsid w:val="00280E6D"/>
    <w:rsid w:val="00295B62"/>
    <w:rsid w:val="002B2B09"/>
    <w:rsid w:val="002B3F7D"/>
    <w:rsid w:val="002B52CD"/>
    <w:rsid w:val="002B643E"/>
    <w:rsid w:val="002F031B"/>
    <w:rsid w:val="003414D3"/>
    <w:rsid w:val="003B3F3B"/>
    <w:rsid w:val="00403F25"/>
    <w:rsid w:val="0041629E"/>
    <w:rsid w:val="00423001"/>
    <w:rsid w:val="0045012C"/>
    <w:rsid w:val="004D425C"/>
    <w:rsid w:val="00587856"/>
    <w:rsid w:val="005B4462"/>
    <w:rsid w:val="00641D89"/>
    <w:rsid w:val="00652449"/>
    <w:rsid w:val="006E5E4A"/>
    <w:rsid w:val="007179D9"/>
    <w:rsid w:val="00741F22"/>
    <w:rsid w:val="007772A8"/>
    <w:rsid w:val="008061CE"/>
    <w:rsid w:val="00817AD2"/>
    <w:rsid w:val="00892BBA"/>
    <w:rsid w:val="008F07B3"/>
    <w:rsid w:val="00904395"/>
    <w:rsid w:val="00925A57"/>
    <w:rsid w:val="009304C7"/>
    <w:rsid w:val="00A47CF4"/>
    <w:rsid w:val="00B00861"/>
    <w:rsid w:val="00B07E0D"/>
    <w:rsid w:val="00BB062F"/>
    <w:rsid w:val="00BF2280"/>
    <w:rsid w:val="00C26144"/>
    <w:rsid w:val="00C402D7"/>
    <w:rsid w:val="00C46464"/>
    <w:rsid w:val="00C95FCA"/>
    <w:rsid w:val="00CB30D3"/>
    <w:rsid w:val="00D1715E"/>
    <w:rsid w:val="00D36B14"/>
    <w:rsid w:val="00D462C6"/>
    <w:rsid w:val="00D948C0"/>
    <w:rsid w:val="00DA5C23"/>
    <w:rsid w:val="00DA5F0F"/>
    <w:rsid w:val="00DB1167"/>
    <w:rsid w:val="00E068E3"/>
    <w:rsid w:val="00EB02EA"/>
    <w:rsid w:val="00EC57C2"/>
    <w:rsid w:val="00F0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012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A91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A91"/>
  </w:style>
  <w:style w:type="paragraph" w:styleId="Pidipagina">
    <w:name w:val="footer"/>
    <w:basedOn w:val="Normale"/>
    <w:link w:val="PidipaginaCarattere"/>
    <w:uiPriority w:val="99"/>
    <w:unhideWhenUsed/>
    <w:rsid w:val="00246A91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A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A9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A9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50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93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D948C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948C0"/>
    <w:rPr>
      <w:b/>
      <w:bCs/>
    </w:rPr>
  </w:style>
  <w:style w:type="paragraph" w:styleId="Paragrafoelenco">
    <w:name w:val="List Paragraph"/>
    <w:basedOn w:val="Normale"/>
    <w:uiPriority w:val="34"/>
    <w:qFormat/>
    <w:rsid w:val="00D948C0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2B64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012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A91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A91"/>
  </w:style>
  <w:style w:type="paragraph" w:styleId="Pidipagina">
    <w:name w:val="footer"/>
    <w:basedOn w:val="Normale"/>
    <w:link w:val="PidipaginaCarattere"/>
    <w:uiPriority w:val="99"/>
    <w:unhideWhenUsed/>
    <w:rsid w:val="00246A91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A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A9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A9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50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93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D948C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948C0"/>
    <w:rPr>
      <w:b/>
      <w:bCs/>
    </w:rPr>
  </w:style>
  <w:style w:type="paragraph" w:styleId="Paragrafoelenco">
    <w:name w:val="List Paragraph"/>
    <w:basedOn w:val="Normale"/>
    <w:uiPriority w:val="34"/>
    <w:qFormat/>
    <w:rsid w:val="00D948C0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2B64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929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0024">
          <w:marLeft w:val="22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241">
          <w:marLeft w:val="22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8146">
          <w:marLeft w:val="2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t.wikipedia.org/wiki/Steroidi" TargetMode="External"/><Relationship Id="rId18" Type="http://schemas.openxmlformats.org/officeDocument/2006/relationships/hyperlink" Target="http://it.wikipedia.org/wiki/Farmaci_antalgici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it.wikipedia.org/wiki/Cuor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t.wikipedia.org/wiki/Antiinfiammatorio" TargetMode="External"/><Relationship Id="rId17" Type="http://schemas.openxmlformats.org/officeDocument/2006/relationships/hyperlink" Target="http://it.wikipedia.org/wiki/Etanolo" TargetMode="External"/><Relationship Id="rId25" Type="http://schemas.openxmlformats.org/officeDocument/2006/relationships/hyperlink" Target="http://it.wikipedia.org/w/index.php?title=Parafarmaci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t.wikipedia.org/wiki/Acqua" TargetMode="External"/><Relationship Id="rId20" Type="http://schemas.openxmlformats.org/officeDocument/2006/relationships/hyperlink" Target="http://it.wikipedia.org/wiki/Sangu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t.wikipedia.org/wiki/Farmaco" TargetMode="External"/><Relationship Id="rId24" Type="http://schemas.openxmlformats.org/officeDocument/2006/relationships/hyperlink" Target="http://it.wikipedia.org/w/index.php?title=Prontuario_farmaceutico_nazionale&amp;action=edit&amp;redlink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t.wikipedia.org/wiki/Numero_CAS" TargetMode="External"/><Relationship Id="rId23" Type="http://schemas.openxmlformats.org/officeDocument/2006/relationships/hyperlink" Target="http://it.wikipedia.org/wiki/Baye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t.wikipedia.org/wiki/IUPAC" TargetMode="External"/><Relationship Id="rId19" Type="http://schemas.openxmlformats.org/officeDocument/2006/relationships/hyperlink" Target="http://it.wikipedia.org/wiki/Antipiretic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it.wikipedia.org/wiki/FANS" TargetMode="External"/><Relationship Id="rId22" Type="http://schemas.openxmlformats.org/officeDocument/2006/relationships/hyperlink" Target="http://it.wikipedia.org/wiki/Marchi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27DA7-EBC7-4A6E-9D5C-CF04A0D0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Dott.ssa Michela Padovani – Biologa Nutrizionista</vt:lpstr>
    </vt:vector>
  </TitlesOfParts>
  <Company>Francesca Chiavaroli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Dott.ssa Michela Padovani – Biologa Nutrizionista</dc:title>
  <dc:creator>Michela</dc:creator>
  <cp:lastModifiedBy>Michela</cp:lastModifiedBy>
  <cp:revision>3</cp:revision>
  <cp:lastPrinted>2011-01-14T16:19:00Z</cp:lastPrinted>
  <dcterms:created xsi:type="dcterms:W3CDTF">2011-03-11T12:15:00Z</dcterms:created>
  <dcterms:modified xsi:type="dcterms:W3CDTF">2011-03-11T12:27:00Z</dcterms:modified>
</cp:coreProperties>
</file>